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CE236" w14:textId="77777777" w:rsidR="007663EC" w:rsidRDefault="007663EC" w:rsidP="007663EC">
      <w:pPr>
        <w:rPr>
          <w:rFonts w:eastAsia="Times New Roman"/>
          <w:color w:val="000000"/>
        </w:rPr>
      </w:pPr>
      <w:r>
        <w:rPr>
          <w:rFonts w:eastAsia="Times New Roman"/>
          <w:color w:val="000000"/>
        </w:rPr>
        <w:t>Je vous adresse l’extrait du guide qui précise le calcul du quota et répond à votre question (en bleu) :</w:t>
      </w:r>
    </w:p>
    <w:p w14:paraId="0E5EF68E" w14:textId="77777777" w:rsidR="007663EC" w:rsidRDefault="007663EC" w:rsidP="007663EC">
      <w:pPr>
        <w:rPr>
          <w:rFonts w:eastAsia="Times New Roman"/>
          <w:color w:val="000000"/>
        </w:rPr>
      </w:pPr>
      <w:r>
        <w:rPr>
          <w:rFonts w:eastAsia="Times New Roman"/>
          <w:color w:val="000000"/>
        </w:rPr>
        <w:t> </w:t>
      </w:r>
    </w:p>
    <w:p w14:paraId="6C255D41" w14:textId="77777777" w:rsidR="007663EC" w:rsidRDefault="007663EC" w:rsidP="007663EC">
      <w:pPr>
        <w:rPr>
          <w:rFonts w:eastAsia="Times New Roman"/>
          <w:color w:val="000000"/>
        </w:rPr>
      </w:pPr>
      <w:r>
        <w:rPr>
          <w:rFonts w:eastAsia="Times New Roman"/>
          <w:i/>
          <w:iCs/>
          <w:color w:val="000000"/>
        </w:rPr>
        <w:t xml:space="preserve">« Calcul du quota : Sous réserve de l’interprétation souveraine du juge, le calcul du quota mentionné à l’article L. 3332-1 est d’interprétation restrictive. C'est donc le franchissement de chaque fraction de 450 habitants qui permet à la commune de disposer d'un nouvel établissement exploitant </w:t>
      </w:r>
      <w:r>
        <w:rPr>
          <w:rFonts w:eastAsia="Times New Roman"/>
          <w:b/>
          <w:bCs/>
          <w:i/>
          <w:iCs/>
          <w:color w:val="000000"/>
        </w:rPr>
        <w:t>une licence III.</w:t>
      </w:r>
      <w:r>
        <w:rPr>
          <w:rFonts w:eastAsia="Times New Roman"/>
          <w:i/>
          <w:iCs/>
          <w:color w:val="000000"/>
        </w:rPr>
        <w:t> L'ouverture d'un nouvel établissement dans les villages de moins de 450 habitants est ainsi impossible, avec le tempérament suivant : - le transfert d'une licence III ou IV y est néanmoins possible dans le respect des dispositions de l'article L. 3332-11. Pour calculer le quota, on additionne les établissements dotés d'une licence III + IV et on rapporte le chiffre obtenu à la population de la commune.</w:t>
      </w:r>
    </w:p>
    <w:p w14:paraId="7077853D" w14:textId="77777777" w:rsidR="007663EC" w:rsidRDefault="007663EC" w:rsidP="007663EC">
      <w:pPr>
        <w:rPr>
          <w:rFonts w:eastAsia="Times New Roman"/>
          <w:color w:val="000000"/>
        </w:rPr>
      </w:pPr>
      <w:r>
        <w:rPr>
          <w:rFonts w:eastAsia="Times New Roman"/>
          <w:i/>
          <w:iCs/>
          <w:color w:val="000000"/>
        </w:rPr>
        <w:t> </w:t>
      </w:r>
    </w:p>
    <w:p w14:paraId="343F7477" w14:textId="77777777" w:rsidR="007663EC" w:rsidRDefault="007663EC" w:rsidP="007663EC">
      <w:pPr>
        <w:rPr>
          <w:rFonts w:eastAsia="Times New Roman"/>
          <w:color w:val="000000"/>
        </w:rPr>
      </w:pPr>
      <w:r>
        <w:rPr>
          <w:rFonts w:eastAsia="Times New Roman"/>
          <w:i/>
          <w:iCs/>
          <w:color w:val="000000"/>
        </w:rPr>
        <w:t> </w:t>
      </w:r>
    </w:p>
    <w:p w14:paraId="0163C417" w14:textId="77777777" w:rsidR="007663EC" w:rsidRDefault="007663EC" w:rsidP="007663EC">
      <w:pPr>
        <w:rPr>
          <w:rFonts w:eastAsia="Times New Roman"/>
          <w:color w:val="000000"/>
        </w:rPr>
      </w:pPr>
      <w:r>
        <w:rPr>
          <w:rFonts w:eastAsia="Times New Roman"/>
          <w:b/>
          <w:bCs/>
          <w:i/>
          <w:iCs/>
          <w:color w:val="000000"/>
        </w:rPr>
        <w:t xml:space="preserve">Une licence peut être transférée sans condition de quota, mais elle vient ensuite s'ajouter à celles existant dans la commune et influe donc sur le ratio à prendre en compte lors d'une future création de licence III. </w:t>
      </w:r>
      <w:r>
        <w:rPr>
          <w:rFonts w:eastAsia="Times New Roman"/>
          <w:b/>
          <w:bCs/>
          <w:color w:val="000000"/>
        </w:rPr>
        <w:t>»</w:t>
      </w:r>
    </w:p>
    <w:p w14:paraId="6B664513" w14:textId="77777777" w:rsidR="007663EC" w:rsidRDefault="007663EC" w:rsidP="007663EC">
      <w:pPr>
        <w:rPr>
          <w:rFonts w:eastAsia="Times New Roman"/>
          <w:color w:val="000000"/>
        </w:rPr>
      </w:pPr>
      <w:r>
        <w:rPr>
          <w:rFonts w:eastAsia="Times New Roman"/>
          <w:color w:val="000000"/>
        </w:rPr>
        <w:t> </w:t>
      </w:r>
    </w:p>
    <w:p w14:paraId="4D74D5E0" w14:textId="77777777" w:rsidR="007663EC" w:rsidRDefault="007663EC" w:rsidP="007663EC">
      <w:pPr>
        <w:rPr>
          <w:rFonts w:eastAsia="Times New Roman"/>
          <w:color w:val="000000"/>
        </w:rPr>
      </w:pPr>
      <w:r>
        <w:rPr>
          <w:rFonts w:eastAsia="Times New Roman"/>
          <w:color w:val="000000"/>
        </w:rPr>
        <w:t> </w:t>
      </w:r>
    </w:p>
    <w:p w14:paraId="163DCE04" w14:textId="77777777" w:rsidR="007663EC" w:rsidRDefault="007663EC" w:rsidP="007663EC">
      <w:pPr>
        <w:rPr>
          <w:rFonts w:eastAsia="Times New Roman"/>
          <w:color w:val="000000"/>
        </w:rPr>
      </w:pPr>
      <w:r>
        <w:rPr>
          <w:rFonts w:eastAsia="Times New Roman"/>
          <w:color w:val="000000"/>
        </w:rPr>
        <w:t>Je vous confirme que le transfert de licence ne tient pas compte du quota des licences</w:t>
      </w:r>
    </w:p>
    <w:p w14:paraId="5C15288C" w14:textId="77777777" w:rsidR="007663EC" w:rsidRDefault="007663EC" w:rsidP="007663EC">
      <w:pPr>
        <w:rPr>
          <w:rFonts w:eastAsia="Times New Roman"/>
          <w:color w:val="000000"/>
        </w:rPr>
      </w:pPr>
      <w:r>
        <w:rPr>
          <w:rFonts w:eastAsia="Times New Roman"/>
          <w:color w:val="000000"/>
        </w:rPr>
        <w:t> </w:t>
      </w:r>
    </w:p>
    <w:p w14:paraId="32C16C6F" w14:textId="77777777" w:rsidR="007663EC" w:rsidRDefault="007663EC" w:rsidP="007663EC">
      <w:pPr>
        <w:rPr>
          <w:rFonts w:eastAsia="Times New Roman"/>
          <w:color w:val="000000"/>
        </w:rPr>
      </w:pPr>
      <w:r>
        <w:rPr>
          <w:rFonts w:eastAsia="Times New Roman"/>
          <w:b/>
          <w:bCs/>
          <w:color w:val="000000"/>
        </w:rPr>
        <w:t>L’a</w:t>
      </w:r>
      <w:hyperlink r:id="rId6" w:history="1">
        <w:r>
          <w:rPr>
            <w:rStyle w:val="Lienhypertexte"/>
            <w:rFonts w:eastAsia="Times New Roman"/>
            <w:b/>
            <w:bCs/>
          </w:rPr>
          <w:t>rticle L3332-1</w:t>
        </w:r>
      </w:hyperlink>
      <w:r>
        <w:rPr>
          <w:rFonts w:eastAsia="Times New Roman"/>
          <w:b/>
          <w:bCs/>
          <w:color w:val="000000"/>
        </w:rPr>
        <w:t> du code de la santé publique sur le quota dispose</w:t>
      </w:r>
    </w:p>
    <w:p w14:paraId="4169B58A" w14:textId="77777777" w:rsidR="007663EC" w:rsidRDefault="007663EC" w:rsidP="007663EC">
      <w:pPr>
        <w:rPr>
          <w:rFonts w:eastAsia="Times New Roman"/>
          <w:color w:val="000000"/>
        </w:rPr>
      </w:pPr>
      <w:r>
        <w:rPr>
          <w:rFonts w:eastAsia="Times New Roman"/>
          <w:color w:val="000000"/>
        </w:rPr>
        <w:t xml:space="preserve">« </w:t>
      </w:r>
      <w:r>
        <w:rPr>
          <w:rFonts w:eastAsia="Times New Roman"/>
          <w:i/>
          <w:iCs/>
          <w:color w:val="000000"/>
        </w:rPr>
        <w:t>Un débit de boissons à consommer sur place de 3e catégorie ne peut être ouvert dans les communes où le total des établissements de cette nature et des établissements de 4e catégorie atteint ou dépasse la proportion d'un débit pour 450 habitants, ou fraction de ce nombre. La population prise pour base de cette estimation est la population municipale totale, non comprise la population comptée à part, telle qu'elle résulte du dernier recensement. Pour les communes touristiques au sens de l'article L. 133-11 du code du tourisme, les modalités de détermination de la population prise pour base de cette estimation sont déterminées par décret en Conseil d'Etat.</w:t>
      </w:r>
    </w:p>
    <w:p w14:paraId="0F665976" w14:textId="77777777" w:rsidR="007663EC" w:rsidRDefault="007663EC" w:rsidP="007663EC">
      <w:pPr>
        <w:rPr>
          <w:rFonts w:eastAsia="Times New Roman"/>
          <w:color w:val="000000"/>
        </w:rPr>
      </w:pPr>
      <w:r>
        <w:rPr>
          <w:rFonts w:eastAsia="Times New Roman"/>
          <w:b/>
          <w:bCs/>
          <w:i/>
          <w:iCs/>
          <w:color w:val="000000"/>
          <w:u w:val="single"/>
        </w:rPr>
        <w:t>Toutefois, cette interdiction ne s'applique pas aux établissements</w:t>
      </w:r>
      <w:r>
        <w:rPr>
          <w:rFonts w:eastAsia="Times New Roman"/>
          <w:i/>
          <w:iCs/>
          <w:color w:val="000000"/>
        </w:rPr>
        <w:t xml:space="preserve"> dont l'ouverture intervient à la suite d'un transfert réalisé dans les conditions fixées par l'article </w:t>
      </w:r>
      <w:hyperlink r:id="rId7" w:tooltip="Code de la santé publique - art. L3332-11 (V)" w:history="1">
        <w:r>
          <w:rPr>
            <w:rStyle w:val="Lienhypertexte"/>
            <w:rFonts w:eastAsia="Times New Roman"/>
            <w:i/>
            <w:iCs/>
          </w:rPr>
          <w:t>L. 3332-11</w:t>
        </w:r>
      </w:hyperlink>
      <w:r>
        <w:rPr>
          <w:rFonts w:eastAsia="Times New Roman"/>
          <w:color w:val="000000"/>
        </w:rPr>
        <w:t>. »</w:t>
      </w:r>
    </w:p>
    <w:p w14:paraId="6482ADAD" w14:textId="77777777" w:rsidR="007663EC" w:rsidRDefault="007663EC" w:rsidP="007663EC">
      <w:pPr>
        <w:rPr>
          <w:rFonts w:eastAsia="Times New Roman"/>
          <w:color w:val="000000"/>
        </w:rPr>
      </w:pPr>
      <w:r>
        <w:rPr>
          <w:rFonts w:eastAsia="Times New Roman"/>
          <w:color w:val="000000"/>
        </w:rPr>
        <w:t> </w:t>
      </w:r>
    </w:p>
    <w:p w14:paraId="044DAD54" w14:textId="77777777" w:rsidR="007663EC" w:rsidRDefault="007663EC" w:rsidP="007663EC">
      <w:pPr>
        <w:rPr>
          <w:rFonts w:eastAsia="Times New Roman"/>
          <w:color w:val="000000"/>
        </w:rPr>
      </w:pPr>
      <w:r>
        <w:rPr>
          <w:rFonts w:eastAsia="Times New Roman"/>
          <w:color w:val="000000"/>
        </w:rPr>
        <w:t>L’article L. 3332-11 du CSP sur le transfert dispose :</w:t>
      </w:r>
    </w:p>
    <w:tbl>
      <w:tblPr>
        <w:tblW w:w="0" w:type="auto"/>
        <w:tblLook w:val="04A0" w:firstRow="1" w:lastRow="0" w:firstColumn="1" w:lastColumn="0" w:noHBand="0" w:noVBand="1"/>
      </w:tblPr>
      <w:tblGrid>
        <w:gridCol w:w="4719"/>
      </w:tblGrid>
      <w:tr w:rsidR="007663EC" w14:paraId="000B262B" w14:textId="77777777">
        <w:tc>
          <w:tcPr>
            <w:tcW w:w="4719"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hideMark/>
          </w:tcPr>
          <w:p w14:paraId="32FF1D13" w14:textId="77777777" w:rsidR="007663EC" w:rsidRDefault="007663EC">
            <w:pPr>
              <w:rPr>
                <w:rFonts w:eastAsia="Times New Roman"/>
                <w:color w:val="000000"/>
              </w:rPr>
            </w:pPr>
            <w:r>
              <w:rPr>
                <w:rFonts w:eastAsia="Times New Roman"/>
                <w:b/>
                <w:bCs/>
                <w:color w:val="000000"/>
              </w:rPr>
              <w:t>Nouvel article L.3332-11 du CSP</w:t>
            </w:r>
          </w:p>
        </w:tc>
      </w:tr>
      <w:tr w:rsidR="007663EC" w14:paraId="62626501" w14:textId="77777777">
        <w:tc>
          <w:tcPr>
            <w:tcW w:w="4719" w:type="dxa"/>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46C3DEF1" w14:textId="77777777" w:rsidR="007663EC" w:rsidRDefault="007663EC">
            <w:pPr>
              <w:rPr>
                <w:rFonts w:eastAsia="Times New Roman"/>
                <w:color w:val="000000"/>
              </w:rPr>
            </w:pPr>
            <w:r>
              <w:rPr>
                <w:rFonts w:eastAsia="Times New Roman"/>
                <w:color w:val="000000"/>
              </w:rPr>
              <w:t xml:space="preserve">« Un débit de boissons à consommer sur place exploité peut être transféré </w:t>
            </w:r>
            <w:r>
              <w:rPr>
                <w:rFonts w:eastAsia="Times New Roman"/>
                <w:b/>
                <w:bCs/>
                <w:color w:val="000000"/>
              </w:rPr>
              <w:t>dans le département</w:t>
            </w:r>
            <w:r>
              <w:rPr>
                <w:rFonts w:eastAsia="Times New Roman"/>
                <w:color w:val="000000"/>
              </w:rPr>
              <w:t xml:space="preserve"> où il se situe. Les demandes d’autorisation de transfert sont soumises au représentant de l’Etat dans le département. Le maire de la commune où est installé le débit de boissons et le maire de la commune où celui-ci est transféré sont obligatoirement consultés. Lorsqu’une commune ne compte qu’un débit de boissons de 4e catégorie, ce débit </w:t>
            </w:r>
            <w:r>
              <w:rPr>
                <w:rFonts w:eastAsia="Times New Roman"/>
                <w:color w:val="000000"/>
              </w:rPr>
              <w:lastRenderedPageBreak/>
              <w:t>ne peut faire l’objet d’un transfert qu’avec l’avis favorable du maire de la commune.</w:t>
            </w:r>
          </w:p>
          <w:p w14:paraId="634C9A8B" w14:textId="77777777" w:rsidR="007663EC" w:rsidRDefault="007663EC">
            <w:pPr>
              <w:rPr>
                <w:rFonts w:eastAsia="Times New Roman"/>
                <w:color w:val="000000"/>
              </w:rPr>
            </w:pPr>
            <w:r>
              <w:rPr>
                <w:rFonts w:eastAsia="Times New Roman"/>
                <w:color w:val="000000"/>
              </w:rPr>
              <w:t> </w:t>
            </w:r>
            <w:r>
              <w:rPr>
                <w:rFonts w:eastAsia="Times New Roman"/>
                <w:b/>
                <w:bCs/>
                <w:color w:val="000000"/>
              </w:rPr>
              <w:t>« Par dérogation au premier alinéa, un débit de boissons à consommer sur place peut être transféré dans un département limitrophe de celui dans lequel il se situe, dans les conditions prévues au premier alinéa. Les demandes d’autorisation de transfert sont soumises au représentant de l’Etat dans le département où doit être transféré le débit de boissons. Un débit de boissons transféré en application de la première phrase du présent alinéa ne peut faire l’objet d’un transfert vers un nouveau département qu’à l’issue d’une période de huit ans.</w:t>
            </w:r>
          </w:p>
          <w:p w14:paraId="0CD1A98E" w14:textId="77777777" w:rsidR="007663EC" w:rsidRDefault="007663EC">
            <w:pPr>
              <w:rPr>
                <w:rFonts w:eastAsia="Times New Roman"/>
                <w:color w:val="000000"/>
              </w:rPr>
            </w:pPr>
            <w:r>
              <w:rPr>
                <w:rFonts w:eastAsia="Times New Roman"/>
                <w:color w:val="000000"/>
              </w:rPr>
              <w:t xml:space="preserve"> « Par dérogation au premier alinéa du présent article et à l’article L. 3335-1, les débits de boissons à consommer sur place peuvent être transférés au-delà des limites </w:t>
            </w:r>
            <w:r>
              <w:rPr>
                <w:rFonts w:eastAsia="Times New Roman"/>
                <w:b/>
                <w:bCs/>
                <w:color w:val="000000"/>
              </w:rPr>
              <w:t>du département</w:t>
            </w:r>
            <w:r>
              <w:rPr>
                <w:rFonts w:eastAsia="Times New Roman"/>
                <w:color w:val="000000"/>
              </w:rPr>
              <w:t> où ils se situent au profit d’établissements, notamment touristiques, répondant à des critères fixés par décret. »</w:t>
            </w:r>
          </w:p>
        </w:tc>
      </w:tr>
    </w:tbl>
    <w:p w14:paraId="397DD0C9" w14:textId="77777777" w:rsidR="007663EC" w:rsidRDefault="007663EC"/>
    <w:sectPr w:rsidR="007663EC">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A6730" w14:textId="77777777" w:rsidR="003F0969" w:rsidRDefault="003F0969" w:rsidP="007663EC">
      <w:r>
        <w:separator/>
      </w:r>
    </w:p>
  </w:endnote>
  <w:endnote w:type="continuationSeparator" w:id="0">
    <w:p w14:paraId="5BA3E6A9" w14:textId="77777777" w:rsidR="003F0969" w:rsidRDefault="003F0969" w:rsidP="00766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113F6" w14:textId="77777777" w:rsidR="003F0969" w:rsidRDefault="003F0969" w:rsidP="007663EC">
      <w:r>
        <w:separator/>
      </w:r>
    </w:p>
  </w:footnote>
  <w:footnote w:type="continuationSeparator" w:id="0">
    <w:p w14:paraId="66EC4B1F" w14:textId="77777777" w:rsidR="003F0969" w:rsidRDefault="003F0969" w:rsidP="007663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EAFB3" w14:textId="320D73A6" w:rsidR="007663EC" w:rsidRDefault="007663EC">
    <w:pPr>
      <w:pStyle w:val="En-tte"/>
    </w:pPr>
    <w:r>
      <w:t>CALCUL DU QUOTA DE LICENCES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3EC"/>
    <w:rsid w:val="003B2795"/>
    <w:rsid w:val="003F0969"/>
    <w:rsid w:val="007663E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218DA"/>
  <w15:chartTrackingRefBased/>
  <w15:docId w15:val="{8CF907E0-3F5D-4E1A-B3BD-C0AD278B4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3EC"/>
    <w:pPr>
      <w:spacing w:after="0" w:line="240" w:lineRule="auto"/>
    </w:pPr>
    <w:rPr>
      <w:rFonts w:ascii="Aptos" w:hAnsi="Aptos" w:cs="Aptos"/>
      <w:kern w:val="0"/>
      <w:lang w:eastAsia="fr-FR"/>
      <w14:ligatures w14:val="none"/>
    </w:rPr>
  </w:style>
  <w:style w:type="paragraph" w:styleId="Titre1">
    <w:name w:val="heading 1"/>
    <w:basedOn w:val="Normal"/>
    <w:next w:val="Normal"/>
    <w:link w:val="Titre1Car"/>
    <w:uiPriority w:val="9"/>
    <w:qFormat/>
    <w:rsid w:val="007663E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re2">
    <w:name w:val="heading 2"/>
    <w:basedOn w:val="Normal"/>
    <w:next w:val="Normal"/>
    <w:link w:val="Titre2Car"/>
    <w:uiPriority w:val="9"/>
    <w:semiHidden/>
    <w:unhideWhenUsed/>
    <w:qFormat/>
    <w:rsid w:val="007663E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re3">
    <w:name w:val="heading 3"/>
    <w:basedOn w:val="Normal"/>
    <w:next w:val="Normal"/>
    <w:link w:val="Titre3Car"/>
    <w:uiPriority w:val="9"/>
    <w:semiHidden/>
    <w:unhideWhenUsed/>
    <w:qFormat/>
    <w:rsid w:val="007663E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re4">
    <w:name w:val="heading 4"/>
    <w:basedOn w:val="Normal"/>
    <w:next w:val="Normal"/>
    <w:link w:val="Titre4Car"/>
    <w:uiPriority w:val="9"/>
    <w:semiHidden/>
    <w:unhideWhenUsed/>
    <w:qFormat/>
    <w:rsid w:val="007663EC"/>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Titre5">
    <w:name w:val="heading 5"/>
    <w:basedOn w:val="Normal"/>
    <w:next w:val="Normal"/>
    <w:link w:val="Titre5Car"/>
    <w:uiPriority w:val="9"/>
    <w:semiHidden/>
    <w:unhideWhenUsed/>
    <w:qFormat/>
    <w:rsid w:val="007663EC"/>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Titre6">
    <w:name w:val="heading 6"/>
    <w:basedOn w:val="Normal"/>
    <w:next w:val="Normal"/>
    <w:link w:val="Titre6Car"/>
    <w:uiPriority w:val="9"/>
    <w:semiHidden/>
    <w:unhideWhenUsed/>
    <w:qFormat/>
    <w:rsid w:val="007663EC"/>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itre7">
    <w:name w:val="heading 7"/>
    <w:basedOn w:val="Normal"/>
    <w:next w:val="Normal"/>
    <w:link w:val="Titre7Car"/>
    <w:uiPriority w:val="9"/>
    <w:semiHidden/>
    <w:unhideWhenUsed/>
    <w:qFormat/>
    <w:rsid w:val="007663EC"/>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itre8">
    <w:name w:val="heading 8"/>
    <w:basedOn w:val="Normal"/>
    <w:next w:val="Normal"/>
    <w:link w:val="Titre8Car"/>
    <w:uiPriority w:val="9"/>
    <w:semiHidden/>
    <w:unhideWhenUsed/>
    <w:qFormat/>
    <w:rsid w:val="007663EC"/>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itre9">
    <w:name w:val="heading 9"/>
    <w:basedOn w:val="Normal"/>
    <w:next w:val="Normal"/>
    <w:link w:val="Titre9Car"/>
    <w:uiPriority w:val="9"/>
    <w:semiHidden/>
    <w:unhideWhenUsed/>
    <w:qFormat/>
    <w:rsid w:val="007663EC"/>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663E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663E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663E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663E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663E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663E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663E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663E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663EC"/>
    <w:rPr>
      <w:rFonts w:eastAsiaTheme="majorEastAsia" w:cstheme="majorBidi"/>
      <w:color w:val="272727" w:themeColor="text1" w:themeTint="D8"/>
    </w:rPr>
  </w:style>
  <w:style w:type="paragraph" w:styleId="Titre">
    <w:name w:val="Title"/>
    <w:basedOn w:val="Normal"/>
    <w:next w:val="Normal"/>
    <w:link w:val="TitreCar"/>
    <w:uiPriority w:val="10"/>
    <w:qFormat/>
    <w:rsid w:val="007663E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reCar">
    <w:name w:val="Titre Car"/>
    <w:basedOn w:val="Policepardfaut"/>
    <w:link w:val="Titre"/>
    <w:uiPriority w:val="10"/>
    <w:rsid w:val="007663E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663E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us-titreCar">
    <w:name w:val="Sous-titre Car"/>
    <w:basedOn w:val="Policepardfaut"/>
    <w:link w:val="Sous-titre"/>
    <w:uiPriority w:val="11"/>
    <w:rsid w:val="007663E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663EC"/>
    <w:pPr>
      <w:spacing w:before="160" w:after="160" w:line="278" w:lineRule="auto"/>
      <w:jc w:val="center"/>
    </w:pPr>
    <w:rPr>
      <w:rFonts w:asciiTheme="minorHAnsi" w:hAnsiTheme="minorHAnsi" w:cstheme="minorBidi"/>
      <w:i/>
      <w:iCs/>
      <w:color w:val="404040" w:themeColor="text1" w:themeTint="BF"/>
      <w:kern w:val="2"/>
      <w:lang w:eastAsia="en-US"/>
      <w14:ligatures w14:val="standardContextual"/>
    </w:rPr>
  </w:style>
  <w:style w:type="character" w:customStyle="1" w:styleId="CitationCar">
    <w:name w:val="Citation Car"/>
    <w:basedOn w:val="Policepardfaut"/>
    <w:link w:val="Citation"/>
    <w:uiPriority w:val="29"/>
    <w:rsid w:val="007663EC"/>
    <w:rPr>
      <w:i/>
      <w:iCs/>
      <w:color w:val="404040" w:themeColor="text1" w:themeTint="BF"/>
    </w:rPr>
  </w:style>
  <w:style w:type="paragraph" w:styleId="Paragraphedeliste">
    <w:name w:val="List Paragraph"/>
    <w:basedOn w:val="Normal"/>
    <w:uiPriority w:val="34"/>
    <w:qFormat/>
    <w:rsid w:val="007663EC"/>
    <w:pPr>
      <w:spacing w:after="160" w:line="278" w:lineRule="auto"/>
      <w:ind w:left="720"/>
      <w:contextualSpacing/>
    </w:pPr>
    <w:rPr>
      <w:rFonts w:asciiTheme="minorHAnsi" w:hAnsiTheme="minorHAnsi" w:cstheme="minorBidi"/>
      <w:kern w:val="2"/>
      <w:lang w:eastAsia="en-US"/>
      <w14:ligatures w14:val="standardContextual"/>
    </w:rPr>
  </w:style>
  <w:style w:type="character" w:styleId="Accentuationintense">
    <w:name w:val="Intense Emphasis"/>
    <w:basedOn w:val="Policepardfaut"/>
    <w:uiPriority w:val="21"/>
    <w:qFormat/>
    <w:rsid w:val="007663EC"/>
    <w:rPr>
      <w:i/>
      <w:iCs/>
      <w:color w:val="0F4761" w:themeColor="accent1" w:themeShade="BF"/>
    </w:rPr>
  </w:style>
  <w:style w:type="paragraph" w:styleId="Citationintense">
    <w:name w:val="Intense Quote"/>
    <w:basedOn w:val="Normal"/>
    <w:next w:val="Normal"/>
    <w:link w:val="CitationintenseCar"/>
    <w:uiPriority w:val="30"/>
    <w:qFormat/>
    <w:rsid w:val="007663E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lang w:eastAsia="en-US"/>
      <w14:ligatures w14:val="standardContextual"/>
    </w:rPr>
  </w:style>
  <w:style w:type="character" w:customStyle="1" w:styleId="CitationintenseCar">
    <w:name w:val="Citation intense Car"/>
    <w:basedOn w:val="Policepardfaut"/>
    <w:link w:val="Citationintense"/>
    <w:uiPriority w:val="30"/>
    <w:rsid w:val="007663EC"/>
    <w:rPr>
      <w:i/>
      <w:iCs/>
      <w:color w:val="0F4761" w:themeColor="accent1" w:themeShade="BF"/>
    </w:rPr>
  </w:style>
  <w:style w:type="character" w:styleId="Rfrenceintense">
    <w:name w:val="Intense Reference"/>
    <w:basedOn w:val="Policepardfaut"/>
    <w:uiPriority w:val="32"/>
    <w:qFormat/>
    <w:rsid w:val="007663EC"/>
    <w:rPr>
      <w:b/>
      <w:bCs/>
      <w:smallCaps/>
      <w:color w:val="0F4761" w:themeColor="accent1" w:themeShade="BF"/>
      <w:spacing w:val="5"/>
    </w:rPr>
  </w:style>
  <w:style w:type="character" w:styleId="Lienhypertexte">
    <w:name w:val="Hyperlink"/>
    <w:basedOn w:val="Policepardfaut"/>
    <w:uiPriority w:val="99"/>
    <w:semiHidden/>
    <w:unhideWhenUsed/>
    <w:rsid w:val="007663EC"/>
    <w:rPr>
      <w:color w:val="0000FF"/>
      <w:u w:val="single"/>
    </w:rPr>
  </w:style>
  <w:style w:type="paragraph" w:styleId="En-tte">
    <w:name w:val="header"/>
    <w:basedOn w:val="Normal"/>
    <w:link w:val="En-tteCar"/>
    <w:uiPriority w:val="99"/>
    <w:unhideWhenUsed/>
    <w:rsid w:val="007663EC"/>
    <w:pPr>
      <w:tabs>
        <w:tab w:val="center" w:pos="4536"/>
        <w:tab w:val="right" w:pos="9072"/>
      </w:tabs>
    </w:pPr>
  </w:style>
  <w:style w:type="character" w:customStyle="1" w:styleId="En-tteCar">
    <w:name w:val="En-tête Car"/>
    <w:basedOn w:val="Policepardfaut"/>
    <w:link w:val="En-tte"/>
    <w:uiPriority w:val="99"/>
    <w:rsid w:val="007663EC"/>
    <w:rPr>
      <w:rFonts w:ascii="Aptos" w:hAnsi="Aptos" w:cs="Aptos"/>
      <w:kern w:val="0"/>
      <w:lang w:eastAsia="fr-FR"/>
      <w14:ligatures w14:val="none"/>
    </w:rPr>
  </w:style>
  <w:style w:type="paragraph" w:styleId="Pieddepage">
    <w:name w:val="footer"/>
    <w:basedOn w:val="Normal"/>
    <w:link w:val="PieddepageCar"/>
    <w:uiPriority w:val="99"/>
    <w:unhideWhenUsed/>
    <w:rsid w:val="007663EC"/>
    <w:pPr>
      <w:tabs>
        <w:tab w:val="center" w:pos="4536"/>
        <w:tab w:val="right" w:pos="9072"/>
      </w:tabs>
    </w:pPr>
  </w:style>
  <w:style w:type="character" w:customStyle="1" w:styleId="PieddepageCar">
    <w:name w:val="Pied de page Car"/>
    <w:basedOn w:val="Policepardfaut"/>
    <w:link w:val="Pieddepage"/>
    <w:uiPriority w:val="99"/>
    <w:rsid w:val="007663EC"/>
    <w:rPr>
      <w:rFonts w:ascii="Aptos" w:hAnsi="Aptos" w:cs="Aptos"/>
      <w:kern w:val="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legifrance.gouv.fr/affichCodeArticle.do?cidTexte=LEGITEXT000006072665&amp;idArticle=LEGIARTI000006688038&amp;dateTexte=&amp;categorieLien=ci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egifrance.gouv.fr/codes/article_lc/LEGIARTI000031643420"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586</Words>
  <Characters>3226</Characters>
  <Application>Microsoft Office Word</Application>
  <DocSecurity>0</DocSecurity>
  <Lines>26</Lines>
  <Paragraphs>7</Paragraphs>
  <ScaleCrop>false</ScaleCrop>
  <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 DUBOS</dc:creator>
  <cp:keywords/>
  <dc:description/>
  <cp:lastModifiedBy>Lore DUBOS</cp:lastModifiedBy>
  <cp:revision>1</cp:revision>
  <dcterms:created xsi:type="dcterms:W3CDTF">2026-07-08T09:03:00Z</dcterms:created>
  <dcterms:modified xsi:type="dcterms:W3CDTF">2026-07-08T09:04:00Z</dcterms:modified>
</cp:coreProperties>
</file>